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77777777" w:rsidR="00E13233" w:rsidRPr="00E812C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8BC1C" w14:textId="616F06A9"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ontrat de mobilité</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117E1F3E"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B27824">
        <w:rPr>
          <w:rFonts w:ascii="Calibri" w:hAnsi="Calibri" w:cs="Calibri"/>
          <w:color w:val="A6A6A6" w:themeColor="background1" w:themeShade="A6"/>
          <w:sz w:val="26"/>
          <w:szCs w:val="26"/>
          <w:lang w:val="en-US"/>
        </w:rPr>
        <w:t>TRAINEESHIP</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3842002E"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MOBILITE </w:t>
      </w:r>
      <w:bookmarkStart w:id="3" w:name="_Toc452729939"/>
      <w:bookmarkEnd w:id="2"/>
      <w:r w:rsidR="009A1FD1" w:rsidRPr="001B0E79">
        <w:rPr>
          <w:rFonts w:ascii="Calibri" w:hAnsi="Calibri" w:cs="Calibri"/>
          <w:color w:val="002060"/>
          <w:sz w:val="26"/>
          <w:szCs w:val="26"/>
          <w:lang w:val="en-GB"/>
        </w:rPr>
        <w:t xml:space="preserve">POUR MOBILITES </w:t>
      </w:r>
      <w:r w:rsidR="00B27824">
        <w:rPr>
          <w:rFonts w:ascii="Calibri" w:hAnsi="Calibri" w:cs="Calibri"/>
          <w:color w:val="002060"/>
          <w:sz w:val="26"/>
          <w:szCs w:val="26"/>
          <w:lang w:val="en-GB"/>
        </w:rPr>
        <w:t>DE STAGE</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r w:rsidRPr="00B34681">
        <w:rPr>
          <w:rFonts w:ascii="Calibri" w:hAnsi="Calibri" w:cs="Calibri"/>
          <w:color w:val="A6A6A6" w:themeColor="background1" w:themeShade="A6"/>
          <w:sz w:val="18"/>
          <w:szCs w:val="18"/>
          <w:highlight w:val="yellow"/>
        </w:rPr>
        <w:t>Please remove this text once the document is completed.</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291F04"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291F04">
        <w:rPr>
          <w:rFonts w:ascii="Calibri" w:hAnsi="Calibri" w:cs="Calibri"/>
          <w:color w:val="A6A6A6" w:themeColor="background1" w:themeShade="A6"/>
          <w:sz w:val="18"/>
          <w:szCs w:val="18"/>
        </w:rPr>
        <w:t>Academic year</w:t>
      </w:r>
      <w:r w:rsidR="00FF7E28" w:rsidRPr="00291F04">
        <w:rPr>
          <w:rFonts w:ascii="Calibri" w:hAnsi="Calibri" w:cs="Calibri"/>
          <w:color w:val="A6A6A6" w:themeColor="background1" w:themeShade="A6"/>
          <w:sz w:val="18"/>
          <w:szCs w:val="18"/>
        </w:rPr>
        <w:t> : 20…../20…..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Année académique :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5BECE573"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356A3EC0"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A6A6A6" w:themeColor="background1" w:themeShade="A6"/>
          <w:sz w:val="18"/>
          <w:szCs w:val="18"/>
          <w:lang w:val="en-GB"/>
        </w:rPr>
        <w:t>Erasmus Code</w:t>
      </w:r>
      <w:r w:rsidR="006B618A" w:rsidRPr="001B0E79">
        <w:rPr>
          <w:rFonts w:ascii="Calibri" w:hAnsi="Calibri" w:cs="Calibri"/>
          <w:color w:val="A6A6A6" w:themeColor="background1" w:themeShade="A6"/>
          <w:sz w:val="18"/>
          <w:szCs w:val="18"/>
          <w:lang w:val="en-GB"/>
        </w:rPr>
        <w:t>/</w:t>
      </w: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ode Erasmus</w:t>
      </w:r>
      <w:r w:rsidR="003919D5" w:rsidRPr="001B0E79">
        <w:rPr>
          <w:rFonts w:ascii="Calibri" w:hAnsi="Calibri" w:cs="Calibri"/>
          <w:color w:val="002060"/>
          <w:sz w:val="18"/>
          <w:szCs w:val="18"/>
          <w:lang w:val="en-GB"/>
        </w:rPr>
        <w:t xml:space="preserve"> </w:t>
      </w:r>
      <w:r w:rsidR="00D33954" w:rsidRPr="001B0E79">
        <w:rPr>
          <w:rFonts w:ascii="Calibri" w:hAnsi="Calibri" w:cs="Calibri"/>
          <w:color w:val="002060"/>
          <w:sz w:val="18"/>
          <w:szCs w:val="18"/>
          <w:lang w:val="en-GB"/>
        </w:rPr>
        <w:t>:</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 :</w:t>
      </w:r>
    </w:p>
    <w:p w14:paraId="7ADFBBC7" w14:textId="4CDFFF89"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Adresse (adresse légale complète) :</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name and forename</w:t>
      </w:r>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 xml:space="preserve">ress (official address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51E941BC"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C3629B">
        <w:rPr>
          <w:rFonts w:ascii="Calibri" w:hAnsi="Calibri" w:cs="Calibri"/>
          <w:color w:val="A6A6A6" w:themeColor="background1" w:themeShade="A6"/>
          <w:sz w:val="18"/>
          <w:szCs w:val="18"/>
        </w:rPr>
        <w:t>studies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B27824">
        <w:rPr>
          <w:rFonts w:ascii="Calibri" w:hAnsi="Calibri" w:cs="Calibri"/>
          <w:color w:val="002060"/>
          <w:sz w:val="18"/>
          <w:szCs w:val="18"/>
        </w:rPr>
        <w:t>de stage</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receives </w:t>
      </w:r>
      <w:r w:rsidR="00AC374E" w:rsidRPr="001B0E79">
        <w:rPr>
          <w:rFonts w:ascii="Calibri" w:hAnsi="Calibri" w:cs="Calibri"/>
          <w:color w:val="A6A6A6" w:themeColor="background1" w:themeShade="A6"/>
          <w:sz w:val="18"/>
          <w:szCs w:val="18"/>
          <w:highlight w:val="yellow"/>
          <w:u w:val="single"/>
        </w:rPr>
        <w:t>(</w:t>
      </w:r>
      <w:r w:rsidR="000B309D">
        <w:rPr>
          <w:rFonts w:ascii="Calibri" w:hAnsi="Calibri" w:cs="Calibri"/>
          <w:color w:val="A6A6A6" w:themeColor="background1" w:themeShade="A6"/>
          <w:sz w:val="18"/>
          <w:szCs w:val="18"/>
          <w:highlight w:val="yellow"/>
          <w:u w:val="single"/>
        </w:rPr>
        <w:t>choose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financial support from Erasmus+ EU funds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zero-grant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000000"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r w:rsidR="000D25BE" w:rsidRPr="001B0E79">
        <w:rPr>
          <w:rFonts w:ascii="Calibri" w:hAnsi="Calibri" w:cs="Calibri"/>
          <w:color w:val="A6A6A6" w:themeColor="background1" w:themeShade="A6"/>
          <w:sz w:val="18"/>
          <w:szCs w:val="18"/>
          <w:u w:val="single"/>
        </w:rPr>
        <w:t>financial support from Erasmus+ EU funds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Total amount</w:t>
      </w:r>
      <w:r w:rsidR="000D25BE" w:rsidRPr="001B0E79">
        <w:rPr>
          <w:rFonts w:ascii="Calibri" w:hAnsi="Calibri" w:cs="Calibri"/>
          <w:color w:val="A6A6A6" w:themeColor="background1" w:themeShade="A6"/>
          <w:sz w:val="18"/>
          <w:szCs w:val="18"/>
          <w:u w:val="single"/>
        </w:rPr>
        <w:t xml:space="preserve"> includes </w:t>
      </w:r>
      <w:r w:rsidR="0027487D" w:rsidRPr="001B0E79">
        <w:rPr>
          <w:rFonts w:ascii="Calibri" w:hAnsi="Calibri" w:cs="Calibri"/>
          <w:color w:val="A6A6A6" w:themeColor="background1" w:themeShade="A6"/>
          <w:sz w:val="18"/>
          <w:szCs w:val="18"/>
          <w:highlight w:val="yellow"/>
          <w:u w:val="single"/>
        </w:rPr>
        <w:t>(check the box-es)</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255E4330"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r w:rsidR="003C08DC" w:rsidRPr="001F4A00">
        <w:rPr>
          <w:rFonts w:ascii="Calibri" w:hAnsi="Calibri" w:cs="Calibri"/>
          <w:color w:val="002060"/>
          <w:sz w:val="14"/>
          <w:szCs w:val="14"/>
        </w:rPr>
        <w:t xml:space="preserve"> </w:t>
      </w:r>
      <w:r w:rsidRPr="001F4A00">
        <w:rPr>
          <w:rFonts w:ascii="Calibri" w:hAnsi="Calibri" w:cs="Calibri"/>
          <w:color w:val="C0504D" w:themeColor="accent2"/>
          <w:sz w:val="14"/>
          <w:szCs w:val="14"/>
        </w:rPr>
        <w:t>250 EUR</w:t>
      </w:r>
      <w:r w:rsidR="001758FD" w:rsidRPr="001F4A00">
        <w:rPr>
          <w:rFonts w:ascii="Calibri" w:hAnsi="Calibri" w:cs="Calibri"/>
          <w:color w:val="C0504D" w:themeColor="accent2"/>
          <w:sz w:val="14"/>
          <w:szCs w:val="14"/>
        </w:rPr>
        <w:t>OS</w:t>
      </w:r>
      <w:bookmarkEnd w:id="5"/>
      <w:r w:rsidR="00503FB5" w:rsidRPr="001F4A00">
        <w:rPr>
          <w:rFonts w:ascii="Calibri" w:hAnsi="Calibri" w:cs="Calibri"/>
          <w:color w:val="C0504D" w:themeColor="accent2"/>
          <w:sz w:val="14"/>
          <w:szCs w:val="14"/>
        </w:rPr>
        <w:t>/MOIS</w:t>
      </w:r>
    </w:p>
    <w:p w14:paraId="79282A9D" w14:textId="77777777" w:rsidR="001F4A00" w:rsidRDefault="005511EA" w:rsidP="00FC6413">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5F9D43ED" w14:textId="1980B18D" w:rsidR="006073B4"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100 EUR</w:t>
      </w:r>
      <w:r w:rsidR="001758FD" w:rsidRPr="001F4A00">
        <w:rPr>
          <w:rFonts w:ascii="Calibri" w:hAnsi="Calibri" w:cs="Calibri"/>
          <w:color w:val="C0504D" w:themeColor="accent2"/>
          <w:sz w:val="14"/>
          <w:szCs w:val="14"/>
        </w:rPr>
        <w:t>OS</w:t>
      </w:r>
      <w:r w:rsidR="006073B4" w:rsidRPr="001F4A00">
        <w:rPr>
          <w:rFonts w:ascii="Calibri" w:hAnsi="Calibri" w:cs="Calibri"/>
          <w:color w:val="C0504D" w:themeColor="accent2"/>
          <w:sz w:val="14"/>
          <w:szCs w:val="14"/>
        </w:rPr>
        <w:t xml:space="preserve"> pour une mobilité d’une durée de 5 à 14 jours</w:t>
      </w:r>
    </w:p>
    <w:p w14:paraId="6B215E76" w14:textId="2FDF5A11" w:rsidR="005511EA"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150 EUR</w:t>
      </w:r>
      <w:r w:rsidR="001758FD" w:rsidRPr="001F4A00">
        <w:rPr>
          <w:rFonts w:ascii="Calibri" w:hAnsi="Calibri" w:cs="Calibri"/>
          <w:color w:val="C0504D" w:themeColor="accent2"/>
          <w:sz w:val="14"/>
          <w:szCs w:val="14"/>
        </w:rPr>
        <w:t>OS</w:t>
      </w:r>
      <w:r w:rsidR="003C08DC" w:rsidRPr="001F4A00">
        <w:rPr>
          <w:rFonts w:ascii="Calibri" w:hAnsi="Calibri" w:cs="Calibri"/>
          <w:color w:val="C0504D" w:themeColor="accent2"/>
          <w:sz w:val="14"/>
          <w:szCs w:val="14"/>
        </w:rPr>
        <w:t xml:space="preserve"> </w:t>
      </w:r>
      <w:r w:rsidR="006073B4" w:rsidRPr="001F4A00">
        <w:rPr>
          <w:rFonts w:ascii="Calibri" w:hAnsi="Calibri" w:cs="Calibri"/>
          <w:color w:val="C0504D" w:themeColor="accent2"/>
          <w:sz w:val="14"/>
          <w:szCs w:val="14"/>
        </w:rPr>
        <w:t>pour une mobilité d’une durée supérieure (30 jours max)</w:t>
      </w:r>
    </w:p>
    <w:p w14:paraId="362C18CE" w14:textId="5DD98922" w:rsidR="00291F04" w:rsidRPr="00291F04" w:rsidRDefault="00291F04" w:rsidP="00291F04">
      <w:pPr>
        <w:tabs>
          <w:tab w:val="left" w:pos="1701"/>
        </w:tabs>
        <w:ind w:left="1701" w:hanging="1701"/>
        <w:rPr>
          <w:rFonts w:ascii="Calibri" w:hAnsi="Calibri" w:cs="Calibri"/>
          <w:color w:val="A6A6A6" w:themeColor="background1" w:themeShade="A6"/>
          <w:sz w:val="14"/>
          <w:szCs w:val="14"/>
          <w:lang w:val="en-GB"/>
        </w:rPr>
      </w:pPr>
      <w:r w:rsidRPr="00291F04">
        <w:rPr>
          <w:rFonts w:ascii="Segoe UI Symbol" w:hAnsi="Segoe UI Symbol" w:cs="Segoe UI Symbol"/>
          <w:color w:val="002060"/>
          <w:sz w:val="16"/>
          <w:szCs w:val="16"/>
          <w:lang w:val="en-GB"/>
        </w:rPr>
        <w:t>☐</w:t>
      </w:r>
      <w:r w:rsidRPr="00291F04">
        <w:rPr>
          <w:rFonts w:ascii="Calibri" w:hAnsi="Calibri" w:cs="Calibri"/>
          <w:color w:val="002060"/>
          <w:sz w:val="16"/>
          <w:szCs w:val="16"/>
          <w:lang w:val="en-GB"/>
        </w:rPr>
        <w:t xml:space="preserve"> </w:t>
      </w:r>
      <w:r w:rsidRPr="00291F04">
        <w:rPr>
          <w:rFonts w:ascii="Calibri" w:hAnsi="Calibri" w:cs="Calibri"/>
          <w:color w:val="A6A6A6" w:themeColor="background1" w:themeShade="A6"/>
          <w:sz w:val="16"/>
          <w:szCs w:val="16"/>
          <w:lang w:val="en-GB"/>
        </w:rPr>
        <w:t xml:space="preserve">Top-up for traineeships / </w:t>
      </w:r>
      <w:r w:rsidRPr="00291F04">
        <w:rPr>
          <w:rFonts w:ascii="Calibri" w:hAnsi="Calibri" w:cs="Calibri"/>
          <w:color w:val="002060"/>
          <w:sz w:val="14"/>
          <w:szCs w:val="14"/>
          <w:lang w:val="en-GB"/>
        </w:rPr>
        <w:t>Complément pour stage</w:t>
      </w:r>
      <w:r>
        <w:rPr>
          <w:rFonts w:ascii="Calibri" w:hAnsi="Calibri" w:cs="Calibri"/>
          <w:color w:val="002060"/>
          <w:sz w:val="14"/>
          <w:szCs w:val="14"/>
          <w:lang w:val="en-GB"/>
        </w:rPr>
        <w:t xml:space="preserve"> si applicable</w:t>
      </w:r>
      <w:r w:rsidRPr="00291F04">
        <w:rPr>
          <w:rFonts w:ascii="Calibri" w:hAnsi="Calibri" w:cs="Calibri"/>
          <w:color w:val="002060"/>
          <w:sz w:val="14"/>
          <w:szCs w:val="14"/>
          <w:lang w:val="en-GB"/>
        </w:rPr>
        <w:t xml:space="preserve"> </w:t>
      </w:r>
      <w:r>
        <w:rPr>
          <w:rFonts w:ascii="Calibri" w:hAnsi="Calibri" w:cs="Calibri"/>
          <w:color w:val="C0504D" w:themeColor="accent2"/>
          <w:sz w:val="14"/>
          <w:szCs w:val="14"/>
          <w:lang w:val="en-GB"/>
        </w:rPr>
        <w:t>15</w:t>
      </w:r>
      <w:r w:rsidRPr="00291F04">
        <w:rPr>
          <w:rFonts w:ascii="Calibri" w:hAnsi="Calibri" w:cs="Calibri"/>
          <w:color w:val="C0504D" w:themeColor="accent2"/>
          <w:sz w:val="14"/>
          <w:szCs w:val="14"/>
          <w:lang w:val="en-GB"/>
        </w:rPr>
        <w:t>0 EUROS</w:t>
      </w:r>
    </w:p>
    <w:p w14:paraId="60C5B387" w14:textId="50C52513"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travel top-up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r w:rsidRPr="00796CFA">
        <w:rPr>
          <w:rFonts w:ascii="Calibri" w:hAnsi="Calibri" w:cs="Calibri"/>
          <w:color w:val="002060"/>
          <w:sz w:val="14"/>
          <w:szCs w:val="14"/>
        </w:rPr>
        <w:t xml:space="preserve"> </w:t>
      </w:r>
      <w:r w:rsidRPr="00796CFA">
        <w:rPr>
          <w:rFonts w:ascii="Calibri" w:hAnsi="Calibri" w:cs="Calibri"/>
          <w:color w:val="C0504D" w:themeColor="accent2"/>
          <w:sz w:val="14"/>
          <w:szCs w:val="14"/>
        </w:rPr>
        <w:t>50 EUR</w:t>
      </w:r>
      <w:r w:rsidR="001758FD" w:rsidRPr="00796CFA">
        <w:rPr>
          <w:rFonts w:ascii="Calibri" w:hAnsi="Calibri" w:cs="Calibri"/>
          <w:color w:val="C0504D" w:themeColor="accent2"/>
          <w:sz w:val="14"/>
          <w:szCs w:val="14"/>
        </w:rPr>
        <w:t>OS</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Travel support (standard travel or green travel</w:t>
      </w:r>
      <w:r w:rsidR="00613FF3" w:rsidRPr="00796CFA">
        <w:rPr>
          <w:rFonts w:ascii="Calibri" w:hAnsi="Calibri" w:cs="Calibri"/>
          <w:color w:val="A6A6A6" w:themeColor="background1" w:themeShade="A6"/>
          <w:sz w:val="16"/>
          <w:szCs w:val="16"/>
        </w:rPr>
        <w:t xml:space="preserve"> amount</w:t>
      </w:r>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 days (additional individual support days)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1BF2FDF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D574BB" w:rsidRPr="00D574BB">
        <w:rPr>
          <w:rFonts w:ascii="Calibri" w:hAnsi="Calibri" w:cs="Calibri"/>
          <w:color w:val="A6A6A6" w:themeColor="background1" w:themeShade="A6"/>
          <w:sz w:val="16"/>
          <w:szCs w:val="16"/>
        </w:rPr>
        <w:t>Exceptional</w:t>
      </w:r>
      <w:proofErr w:type="spellEnd"/>
      <w:r w:rsidR="00D574BB" w:rsidRPr="00D574BB">
        <w:rPr>
          <w:rFonts w:ascii="Calibri" w:hAnsi="Calibri" w:cs="Calibri"/>
          <w:color w:val="A6A6A6" w:themeColor="background1" w:themeShade="A6"/>
          <w:sz w:val="16"/>
          <w:szCs w:val="16"/>
        </w:rPr>
        <w:t xml:space="preserve"> </w:t>
      </w:r>
      <w:proofErr w:type="spellStart"/>
      <w:r w:rsidR="00D574BB" w:rsidRPr="00D574BB">
        <w:rPr>
          <w:rFonts w:ascii="Calibri" w:hAnsi="Calibri" w:cs="Calibri"/>
          <w:color w:val="A6A6A6" w:themeColor="background1" w:themeShade="A6"/>
          <w:sz w:val="16"/>
          <w:szCs w:val="16"/>
        </w:rPr>
        <w:t>cost</w:t>
      </w:r>
      <w:proofErr w:type="spellEnd"/>
      <w:r w:rsidR="00D574BB" w:rsidRPr="00D574BB">
        <w:rPr>
          <w:rFonts w:ascii="Calibri" w:hAnsi="Calibri" w:cs="Calibri"/>
          <w:color w:val="A6A6A6" w:themeColor="background1" w:themeShade="A6"/>
          <w:sz w:val="16"/>
          <w:szCs w:val="16"/>
        </w:rPr>
        <w:t xml:space="preserve"> for</w:t>
      </w:r>
      <w:r w:rsidR="00D574BB">
        <w:rPr>
          <w:rFonts w:ascii="Calibri" w:hAnsi="Calibri" w:cs="Calibri"/>
          <w:color w:val="002060"/>
          <w:sz w:val="16"/>
          <w:szCs w:val="16"/>
        </w:rPr>
        <w:t xml:space="preserve"> </w:t>
      </w:r>
      <w:proofErr w:type="spellStart"/>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w:t>
      </w:r>
      <w:proofErr w:type="spellEnd"/>
      <w:r w:rsidRPr="00400594">
        <w:rPr>
          <w:rFonts w:ascii="Calibri" w:hAnsi="Calibri" w:cs="Calibri"/>
          <w:color w:val="A6A6A6" w:themeColor="background1" w:themeShade="A6"/>
          <w:sz w:val="16"/>
          <w:szCs w:val="16"/>
        </w:rPr>
        <w:t xml:space="preserve"> travel (based on real costs)</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(based on real costs</w:t>
      </w:r>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Without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52E5C39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r w:rsidR="001F053D">
        <w:rPr>
          <w:rFonts w:ascii="Calibri" w:hAnsi="Calibri" w:cs="Calibri"/>
          <w:color w:val="A6A6A6" w:themeColor="background1" w:themeShade="A6"/>
          <w:sz w:val="18"/>
          <w:szCs w:val="18"/>
          <w:lang w:val="en-US"/>
        </w:rPr>
        <w:t>organisation</w:t>
      </w:r>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386B98">
        <w:rPr>
          <w:rFonts w:ascii="Calibri" w:hAnsi="Calibri" w:cs="Calibri"/>
          <w:color w:val="A6A6A6" w:themeColor="background1" w:themeShade="A6"/>
          <w:sz w:val="18"/>
          <w:szCs w:val="18"/>
          <w:lang w:val="en-US"/>
        </w:rPr>
        <w:t>traineeship</w:t>
      </w:r>
      <w:r w:rsidRPr="00451E23">
        <w:rPr>
          <w:rFonts w:ascii="Calibri" w:hAnsi="Calibri" w:cs="Calibri"/>
          <w:color w:val="A6A6A6" w:themeColor="background1" w:themeShade="A6"/>
          <w:sz w:val="18"/>
          <w:szCs w:val="18"/>
          <w:lang w:val="en-US"/>
        </w:rPr>
        <w:t xml:space="preserve"> under the Erasmus+ Programme.</w:t>
      </w:r>
    </w:p>
    <w:p w14:paraId="6A900336" w14:textId="7E1F397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E66F22">
        <w:rPr>
          <w:rFonts w:ascii="Calibri" w:hAnsi="Calibri" w:cs="Calibri"/>
          <w:color w:val="002060"/>
          <w:sz w:val="18"/>
          <w:szCs w:val="18"/>
        </w:rPr>
        <w:t>de stage</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78B23045"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386B98">
        <w:rPr>
          <w:rFonts w:ascii="Calibri" w:hAnsi="Calibri" w:cs="Calibri"/>
          <w:color w:val="A6A6A6" w:themeColor="background1" w:themeShade="A6"/>
          <w:sz w:val="18"/>
          <w:szCs w:val="18"/>
          <w:lang w:val="en-GB"/>
        </w:rPr>
        <w:t>traineeship</w:t>
      </w:r>
      <w:r w:rsidRPr="00451E23">
        <w:rPr>
          <w:rFonts w:ascii="Calibri" w:hAnsi="Calibri" w:cs="Calibri"/>
          <w:color w:val="A6A6A6" w:themeColor="background1" w:themeShade="A6"/>
          <w:sz w:val="18"/>
          <w:szCs w:val="18"/>
          <w:lang w:val="en-GB"/>
        </w:rPr>
        <w:t xml:space="preserve"> as described in Annex I.</w:t>
      </w:r>
    </w:p>
    <w:p w14:paraId="2712775E" w14:textId="025A7D85"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indiquée à l’article 3 et s’engage à réaliser le programme de mobilité </w:t>
      </w:r>
      <w:r w:rsidR="00E66F22">
        <w:rPr>
          <w:rFonts w:ascii="Calibri" w:hAnsi="Calibri" w:cs="Calibri"/>
          <w:color w:val="002060"/>
          <w:sz w:val="18"/>
          <w:szCs w:val="18"/>
        </w:rPr>
        <w:t>de stage</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4AC546E0"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 xml:space="preserve">The </w:t>
      </w:r>
      <w:r w:rsidR="0023439A">
        <w:rPr>
          <w:rFonts w:ascii="Calibri" w:hAnsi="Calibri" w:cs="Calibri"/>
          <w:color w:val="A6A6A6" w:themeColor="background1" w:themeShade="A6"/>
          <w:sz w:val="18"/>
          <w:szCs w:val="18"/>
          <w:lang w:val="en-US"/>
        </w:rPr>
        <w:t>Traineeship certificate</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36CF3784"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w:t>
      </w:r>
      <w:r w:rsidR="00517996">
        <w:rPr>
          <w:rFonts w:ascii="Calibri" w:hAnsi="Calibri" w:cs="Calibri"/>
          <w:color w:val="002060"/>
          <w:sz w:val="18"/>
          <w:szCs w:val="18"/>
        </w:rPr>
        <w:t xml:space="preserve">’attestation de stage </w:t>
      </w:r>
      <w:r w:rsidRPr="00A53CFF">
        <w:rPr>
          <w:rFonts w:ascii="Calibri" w:hAnsi="Calibri" w:cs="Calibri"/>
          <w:color w:val="002060"/>
          <w:sz w:val="18"/>
          <w:szCs w:val="18"/>
        </w:rPr>
        <w:t>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The financial support is calculated following the funding rules indicated in the Erasmus+ Programme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Option 1 : the organisation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zero-grant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520281B4"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(Ukraine):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454900EB"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(Ukraine)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5927463E"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r w:rsidR="006510CA">
        <w:rPr>
          <w:rFonts w:ascii="Calibri" w:hAnsi="Calibri" w:cs="Calibri"/>
          <w:color w:val="A6A6A6" w:themeColor="background1" w:themeShade="A6"/>
          <w:sz w:val="18"/>
          <w:szCs w:val="18"/>
          <w:lang w:val="en-US"/>
        </w:rPr>
        <w:t>organisation</w:t>
      </w:r>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from Ukraine)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0947CA3C"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d’Ukraine)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1D827EAD"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Insurance coverage shall include at minimum a health insurance</w:t>
      </w:r>
      <w:r w:rsidR="006B7D76">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[mandatory for traineeships]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482BD8E6"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w:t>
      </w:r>
      <w:r w:rsidR="006B7D76">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5A2748F6"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026F084"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7C8FE475"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work to be specified] that the student already has or agrees to acquire by the start of the mobility period is:</w:t>
      </w:r>
    </w:p>
    <w:p w14:paraId="414AA856" w14:textId="08213236"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 xml:space="preserve">e niveau de compétence linguistique en [indiquer la langue </w:t>
      </w:r>
      <w:r w:rsidR="00D5212C">
        <w:rPr>
          <w:rFonts w:ascii="Calibri" w:hAnsi="Calibri" w:cs="Calibri"/>
          <w:color w:val="002060"/>
          <w:sz w:val="18"/>
          <w:szCs w:val="18"/>
        </w:rPr>
        <w:t xml:space="preserve">de </w:t>
      </w:r>
      <w:r w:rsidRPr="001B0E79">
        <w:rPr>
          <w:rFonts w:ascii="Calibri" w:hAnsi="Calibri" w:cs="Calibri"/>
          <w:color w:val="002060"/>
          <w:sz w:val="18"/>
          <w:szCs w:val="18"/>
        </w:rPr>
        <w: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r w:rsidR="00B822C7" w:rsidRPr="00B822C7">
        <w:rPr>
          <w:rFonts w:ascii="Calibri" w:hAnsi="Calibri" w:cs="Calibri"/>
          <w:color w:val="002060"/>
          <w:sz w:val="18"/>
          <w:szCs w:val="18"/>
          <w:lang w:val="en-GB"/>
        </w:rPr>
        <w:t xml:space="preserve">locuteur natif </w:t>
      </w:r>
      <w:sdt>
        <w:sdtPr>
          <w:rPr>
            <w:rFonts w:ascii="Calibri" w:hAnsi="Calibri" w:cs="Calibri"/>
            <w:color w:val="002060"/>
            <w:sz w:val="18"/>
            <w:szCs w:val="18"/>
            <w:lang w:val="en-GB"/>
          </w:rPr>
          <w:id w:val="202215380"/>
        </w:sdt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71A0706B"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 from Ukraine]</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3EFF62A"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 provenance d’Ukraine)</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000000"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461E5FA1" w14:textId="70E22391" w:rsidR="00747734" w:rsidRPr="002F68AF" w:rsidRDefault="00747734" w:rsidP="002F68AF">
      <w:pPr>
        <w:rPr>
          <w:rFonts w:ascii="Calibri" w:hAnsi="Calibri" w:cs="Calibri"/>
          <w:color w:val="002060"/>
          <w:lang w:val="en-US"/>
        </w:rPr>
      </w:pPr>
      <w:bookmarkStart w:id="6" w:name="_Toc452729940"/>
      <w:bookmarkEnd w:id="6"/>
    </w:p>
    <w:sectPr w:rsidR="00747734" w:rsidRPr="002F68AF" w:rsidSect="002F68AF">
      <w:endnotePr>
        <w:numFmt w:val="decimal"/>
      </w:endnotePr>
      <w:pgSz w:w="11900" w:h="16840"/>
      <w:pgMar w:top="567" w:right="843" w:bottom="1417"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5CCC" w14:textId="77777777" w:rsidR="00AB6780" w:rsidRDefault="00AB6780" w:rsidP="00EC610C">
      <w:r>
        <w:separator/>
      </w:r>
    </w:p>
  </w:endnote>
  <w:endnote w:type="continuationSeparator" w:id="0">
    <w:p w14:paraId="099FB977" w14:textId="77777777" w:rsidR="00AB6780" w:rsidRDefault="00AB678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C8C6" w14:textId="77777777" w:rsidR="00AB6780" w:rsidRDefault="00AB6780" w:rsidP="00EC610C">
      <w:r>
        <w:separator/>
      </w:r>
    </w:p>
  </w:footnote>
  <w:footnote w:type="continuationSeparator" w:id="0">
    <w:p w14:paraId="17DE7A71" w14:textId="77777777" w:rsidR="00AB6780" w:rsidRDefault="00AB6780" w:rsidP="00EC610C">
      <w:r>
        <w:continuationSeparator/>
      </w:r>
    </w:p>
  </w:footnote>
  <w:footnote w:id="1">
    <w:p w14:paraId="2A8A94DF" w14:textId="663AAA44" w:rsidR="0023439A" w:rsidRPr="00F77065" w:rsidRDefault="0023439A"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3439A" w:rsidRDefault="0023439A">
      <w:pPr>
        <w:pStyle w:val="Notedebasdepage"/>
      </w:pPr>
    </w:p>
  </w:footnote>
  <w:footnote w:id="2">
    <w:p w14:paraId="5A0C9792" w14:textId="78263096" w:rsidR="0023439A" w:rsidRPr="00400594" w:rsidRDefault="0023439A"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261637">
    <w:abstractNumId w:val="9"/>
  </w:num>
  <w:num w:numId="2" w16cid:durableId="1538932924">
    <w:abstractNumId w:val="15"/>
  </w:num>
  <w:num w:numId="3" w16cid:durableId="777993750">
    <w:abstractNumId w:val="14"/>
  </w:num>
  <w:num w:numId="4" w16cid:durableId="931088162">
    <w:abstractNumId w:val="20"/>
  </w:num>
  <w:num w:numId="5" w16cid:durableId="1934780706">
    <w:abstractNumId w:val="11"/>
  </w:num>
  <w:num w:numId="6" w16cid:durableId="10183158">
    <w:abstractNumId w:val="12"/>
  </w:num>
  <w:num w:numId="7" w16cid:durableId="1005592884">
    <w:abstractNumId w:val="3"/>
  </w:num>
  <w:num w:numId="8" w16cid:durableId="2100246827">
    <w:abstractNumId w:val="8"/>
  </w:num>
  <w:num w:numId="9" w16cid:durableId="1350524064">
    <w:abstractNumId w:val="16"/>
  </w:num>
  <w:num w:numId="10" w16cid:durableId="1477262322">
    <w:abstractNumId w:val="4"/>
  </w:num>
  <w:num w:numId="11" w16cid:durableId="1275789969">
    <w:abstractNumId w:val="10"/>
  </w:num>
  <w:num w:numId="12" w16cid:durableId="615016750">
    <w:abstractNumId w:val="7"/>
  </w:num>
  <w:num w:numId="13" w16cid:durableId="1378623659">
    <w:abstractNumId w:val="1"/>
  </w:num>
  <w:num w:numId="14" w16cid:durableId="2056932324">
    <w:abstractNumId w:val="8"/>
  </w:num>
  <w:num w:numId="15" w16cid:durableId="381099955">
    <w:abstractNumId w:val="13"/>
  </w:num>
  <w:num w:numId="16" w16cid:durableId="1187937997">
    <w:abstractNumId w:val="0"/>
  </w:num>
  <w:num w:numId="17" w16cid:durableId="1675961086">
    <w:abstractNumId w:val="5"/>
  </w:num>
  <w:num w:numId="18" w16cid:durableId="1592547480">
    <w:abstractNumId w:val="6"/>
  </w:num>
  <w:num w:numId="19" w16cid:durableId="666638214">
    <w:abstractNumId w:val="21"/>
  </w:num>
  <w:num w:numId="20" w16cid:durableId="1776053554">
    <w:abstractNumId w:val="17"/>
  </w:num>
  <w:num w:numId="21" w16cid:durableId="88738426">
    <w:abstractNumId w:val="2"/>
  </w:num>
  <w:num w:numId="22" w16cid:durableId="1014646148">
    <w:abstractNumId w:val="18"/>
  </w:num>
  <w:num w:numId="23" w16cid:durableId="171438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0E83"/>
    <w:rsid w:val="002F1106"/>
    <w:rsid w:val="002F40D3"/>
    <w:rsid w:val="002F62B6"/>
    <w:rsid w:val="002F68AF"/>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4F86"/>
    <w:rsid w:val="004C7EAE"/>
    <w:rsid w:val="004D0315"/>
    <w:rsid w:val="004D4B6B"/>
    <w:rsid w:val="00503FB5"/>
    <w:rsid w:val="00510E3C"/>
    <w:rsid w:val="00517996"/>
    <w:rsid w:val="00533332"/>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B7D76"/>
    <w:rsid w:val="006C73B2"/>
    <w:rsid w:val="006E0DE3"/>
    <w:rsid w:val="006E3F54"/>
    <w:rsid w:val="006F1CD4"/>
    <w:rsid w:val="006F37EA"/>
    <w:rsid w:val="0070018D"/>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5662D"/>
    <w:rsid w:val="008604CA"/>
    <w:rsid w:val="00875E93"/>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50FE6"/>
    <w:rsid w:val="00961084"/>
    <w:rsid w:val="009613BD"/>
    <w:rsid w:val="00961BCC"/>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309E"/>
    <w:rsid w:val="00A76DBE"/>
    <w:rsid w:val="00A770E5"/>
    <w:rsid w:val="00A81351"/>
    <w:rsid w:val="00A81565"/>
    <w:rsid w:val="00A90F6A"/>
    <w:rsid w:val="00A92EE3"/>
    <w:rsid w:val="00AA17B7"/>
    <w:rsid w:val="00AA35BC"/>
    <w:rsid w:val="00AA5C4F"/>
    <w:rsid w:val="00AA7B0F"/>
    <w:rsid w:val="00AB4A14"/>
    <w:rsid w:val="00AB5A84"/>
    <w:rsid w:val="00AB6780"/>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1791F"/>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1EDF"/>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212C"/>
    <w:rsid w:val="00D53124"/>
    <w:rsid w:val="00D574BB"/>
    <w:rsid w:val="00D57E8D"/>
    <w:rsid w:val="00D622DB"/>
    <w:rsid w:val="00D76433"/>
    <w:rsid w:val="00D770CC"/>
    <w:rsid w:val="00D853C5"/>
    <w:rsid w:val="00D93E78"/>
    <w:rsid w:val="00D94226"/>
    <w:rsid w:val="00DA3D58"/>
    <w:rsid w:val="00DB2F72"/>
    <w:rsid w:val="00DC1D5B"/>
    <w:rsid w:val="00DC4711"/>
    <w:rsid w:val="00DD5D27"/>
    <w:rsid w:val="00DE048D"/>
    <w:rsid w:val="00DE2AD3"/>
    <w:rsid w:val="00DE3137"/>
    <w:rsid w:val="00DF7321"/>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66F22"/>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17F99"/>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0320-B685-4A76-BEC9-8EA95DBC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3666</Words>
  <Characters>20165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GUSTAVO SANJUAN</cp:lastModifiedBy>
  <cp:revision>20</cp:revision>
  <cp:lastPrinted>2019-03-12T15:16:00Z</cp:lastPrinted>
  <dcterms:created xsi:type="dcterms:W3CDTF">2022-07-04T12:20:00Z</dcterms:created>
  <dcterms:modified xsi:type="dcterms:W3CDTF">2023-11-07T10:28:00Z</dcterms:modified>
</cp:coreProperties>
</file>